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80" w:rsidRPr="00F06998" w:rsidRDefault="00541980" w:rsidP="005419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r-Cyrl-RS" w:eastAsia="hu-HU"/>
        </w:rPr>
        <w:t>Предлог</w:t>
      </w: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На основу</w:t>
      </w:r>
      <w:r w:rsidR="00C33B70" w:rsidRPr="00F06998">
        <w:rPr>
          <w:color w:val="FF0000"/>
          <w:lang w:val="sr-Cyrl-RS"/>
        </w:rPr>
        <w:t xml:space="preserve"> </w:t>
      </w:r>
      <w:r w:rsidR="00C33B70" w:rsidRPr="00F06998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>члана 60. став 2.</w:t>
      </w:r>
      <w:r w:rsidR="00C33B70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Закона о пољопривредном земљишту</w:t>
      </w:r>
      <w:r w:rsidR="00F83FA4" w:rsidRPr="00F06998">
        <w:rPr>
          <w:lang w:val="sr-Cyrl-RS"/>
        </w:rPr>
        <w:t xml:space="preserve">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(„Сл. гласник РС“, бр. 62/2006, 65/2008 ,41/2009 </w:t>
      </w:r>
      <w:r w:rsidR="00C33B70"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и 112/2015) и</w:t>
      </w:r>
      <w:r w:rsidR="00F83FA4" w:rsidRPr="00F06998">
        <w:rPr>
          <w:rFonts w:ascii="Times New Roman" w:hAnsi="Times New Roman" w:cs="Times New Roman"/>
          <w:sz w:val="20"/>
          <w:szCs w:val="20"/>
          <w:lang w:val="sr-Cyrl-RS"/>
        </w:rPr>
        <w:t xml:space="preserve"> члана 47. став 6. Статута општине Кањижа („Сл. лист општине Кањижа“, бр. 4/14 – пречишћен текст, 8/14, 4/16 и 15/16), a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уз сагласност Министарства пољопривреде</w:t>
      </w:r>
      <w:r w:rsidR="007D3391"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, шумарства и водопривреде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Републике Србије бр.</w:t>
      </w:r>
      <w:r w:rsidR="00F0699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7D3391"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320-11-00192/2017-14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од дана </w:t>
      </w:r>
      <w:r w:rsidR="007D3391"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12. 07.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2017. године, Скупштина општине Кањижа,  на седници одржаној _________  2017. године, донела је</w:t>
      </w: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sr-Cyrl-RS" w:eastAsia="hu-HU"/>
        </w:rPr>
      </w:pPr>
      <w:bookmarkStart w:id="0" w:name="_Toc299531025"/>
      <w:r w:rsidRPr="00F06998">
        <w:rPr>
          <w:rFonts w:ascii="Times New Roman" w:eastAsia="Times New Roman" w:hAnsi="Times New Roman" w:cs="Times New Roman"/>
          <w:b/>
          <w:sz w:val="28"/>
          <w:szCs w:val="28"/>
          <w:lang w:val="sr-Cyrl-RS" w:eastAsia="hu-HU"/>
        </w:rPr>
        <w:t>П  Р  О  Г  Р  А  М</w:t>
      </w:r>
    </w:p>
    <w:p w:rsidR="00541980" w:rsidRPr="00F06998" w:rsidRDefault="00541980" w:rsidP="00541980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8"/>
          <w:szCs w:val="28"/>
          <w:lang w:val="sr-Cyrl-RS" w:eastAsia="hu-HU"/>
        </w:rPr>
        <w:t>заштите, уређења и коришћења пољопривредног земљишта општине Кањижа за 2017. годину</w:t>
      </w:r>
      <w:bookmarkEnd w:id="0"/>
    </w:p>
    <w:p w:rsidR="00541980" w:rsidRPr="00F06998" w:rsidRDefault="00541980" w:rsidP="00541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  <w:t>I. ОПШТИ ДЕО</w:t>
      </w:r>
    </w:p>
    <w:p w:rsidR="00541980" w:rsidRPr="00F06998" w:rsidRDefault="00541980" w:rsidP="00541980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Овим Програмом даје се преглед површина пољопривредног земљишта по катастарским општинама, класама и културама, анализа стања заштите и уређења пољопривредног земљишта, утврђује Програм радова на заштити и уређењу пољопривредног земљишта и План коришћења пољопривредног земљишта у својини Републике Србије.</w:t>
      </w: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</w: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  <w:t>УВОД</w:t>
      </w:r>
    </w:p>
    <w:p w:rsidR="00541980" w:rsidRPr="00F06998" w:rsidRDefault="00541980" w:rsidP="0054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hu-HU"/>
        </w:rPr>
        <w:t xml:space="preserve">  </w:t>
      </w: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 xml:space="preserve">  1.1. Географски положај и рељефне карактеристике општине Кањижа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Основни елементи који карактеришу географски положај су: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припадност потиском басену;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погранични положај општине;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развијена путна мрежа и добра саобраћајна повезаност са окружењем.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геоморфолошком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погледу на подручју обухваћеним Просторним планом издвајају се следеће целине: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-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алувијална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раван реке Тисе;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лесна тераса;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Суботичка пешчара;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- Бачка лесна зараван.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Алувијална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раван Тисе створена је флувијалном ерозијом и акумулацијом и представља најмлађу творевину Тисе. Нагнута је у правцу речног тока, а просечно је од лесне терасе нижа за 6-8 м. Раван је флувијалног порекла и састоји се од песка, речног муља и глине. 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Лесна тераса је настала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еолском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ерозијом, дебљина леса варира од 2-6 м, а лесни материјал је једноставан, без и једне смеђе зоне. На лесној тераси (која је нагнута у правцу северозапад–југоисток) нема оних карактеристичних морфолошких облика који се јављају на типичном сувоземном лесу. На овом простору најчешће је заступљена површинска ерозија 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денендација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, чијим су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садејством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створени облици благих страна и широко заталасани пешчани брежуљци са стално израженим гредама.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Суботичка пешчара нагнута је од северозапада према југоистоку. Од морфолошких облика најзаступљенији су дине,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издувине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,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међудинске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депресије и долине. 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Површина Бачке лесне заравни је таласаста, испуњена динама,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интерколинским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депресијама, вртачама и долинама. Прелазак бачке лесне заравни у Суботички песак на истоку чине косе, висине 10–30 м, док је северна граница нејасно изражена преко зоне леса и песка, који прелази у Суботичку пешчару.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 xml:space="preserve">1.2. </w:t>
      </w:r>
      <w:proofErr w:type="spellStart"/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>Сеизмика</w:t>
      </w:r>
      <w:proofErr w:type="spellEnd"/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Подручје општине Кањижа налази се према карти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макросеизмичке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реонизације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у сеизмичком подручју подложном могућим померањима тла интензитета 70МЦС и 80МЦС, те се у циљу спречавања евентуалних последица изазваних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трусним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померањима наведеног интензитета морају применити одговарајуће мере при изградњи и уређењу насеља.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 xml:space="preserve">1.3. </w:t>
      </w:r>
      <w:proofErr w:type="spellStart"/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>Педологија</w:t>
      </w:r>
      <w:proofErr w:type="spellEnd"/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>Подручје општине Кањижа налази се на педолошком покривачу са претежно следећим типовима земљишта: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земљишта у типу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чернозема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,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хидроморфна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земљишта,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слатинаста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земљишта,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пескови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и песковита земљишта,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слатине,</w:t>
      </w:r>
    </w:p>
    <w:p w:rsidR="00541980" w:rsidRPr="00F06998" w:rsidRDefault="00541980" w:rsidP="005419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језера, баре и мочваре.</w:t>
      </w:r>
    </w:p>
    <w:p w:rsidR="00F06998" w:rsidRPr="00F06998" w:rsidRDefault="00F06998" w:rsidP="00F069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bookmarkStart w:id="1" w:name="_GoBack"/>
      <w:bookmarkEnd w:id="1"/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Cs/>
          <w:sz w:val="20"/>
          <w:szCs w:val="20"/>
          <w:lang w:val="sr-Cyrl-RS" w:eastAsia="hu-HU"/>
        </w:rPr>
        <w:t>Табела 1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: Педолошка структура земљишта општине Кањижа</w:t>
      </w:r>
    </w:p>
    <w:tbl>
      <w:tblPr>
        <w:tblpPr w:leftFromText="141" w:rightFromText="141" w:vertAnchor="text" w:horzAnchor="margin" w:tblpXSpec="center" w:tblpY="236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601"/>
        <w:gridCol w:w="1559"/>
        <w:gridCol w:w="1073"/>
      </w:tblGrid>
      <w:tr w:rsidR="00541980" w:rsidRPr="00F06998" w:rsidTr="007F73C1">
        <w:trPr>
          <w:trHeight w:val="3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Типови земљишта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Укупна површина (ха)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%</w:t>
            </w:r>
          </w:p>
        </w:tc>
      </w:tr>
      <w:tr w:rsidR="00541980" w:rsidRPr="00F06998" w:rsidTr="007F73C1">
        <w:trPr>
          <w:trHeight w:val="56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1.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 xml:space="preserve">Земљишта у типу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чернозема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  <w:t xml:space="preserve"> </w:t>
            </w: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(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карбонатни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,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оглејавани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,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солончакасти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и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иловасто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-песковити)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25.270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63,4</w:t>
            </w:r>
          </w:p>
        </w:tc>
      </w:tr>
      <w:tr w:rsidR="00541980" w:rsidRPr="00F06998" w:rsidTr="007F73C1">
        <w:trPr>
          <w:trHeight w:val="7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2.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</w:pPr>
            <w:proofErr w:type="spellStart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Хидроморфна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 xml:space="preserve"> земљишта</w:t>
            </w:r>
            <w:r w:rsidRPr="00F06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  <w:t xml:space="preserve"> </w:t>
            </w: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(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алувијално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иловасто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и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забарено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земљиште и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бескарбонатна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ритска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црница)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5.340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13,4</w:t>
            </w:r>
          </w:p>
        </w:tc>
      </w:tr>
      <w:tr w:rsidR="00541980" w:rsidRPr="00F06998" w:rsidTr="007F73C1">
        <w:trPr>
          <w:trHeight w:val="75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3.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proofErr w:type="spellStart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Слатинаста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 xml:space="preserve"> земљишта </w:t>
            </w: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(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алувијална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црница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солончакаста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,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ритска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црница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карбонатна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заслањена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и на песку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заслањена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4.455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11,2</w:t>
            </w:r>
          </w:p>
        </w:tc>
      </w:tr>
      <w:tr w:rsidR="00541980" w:rsidRPr="00F06998" w:rsidTr="007F73C1">
        <w:trPr>
          <w:trHeight w:val="94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4.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proofErr w:type="spellStart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Пескови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 xml:space="preserve"> и песковита земљишта</w:t>
            </w:r>
            <w:r w:rsidRPr="00F06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  <w:t xml:space="preserve"> </w:t>
            </w: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(иницијална земљишта на песку и местимично жути песак, смеђе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степско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земљиште на песку и 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антропогенизовани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песак)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1.542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hu-HU"/>
              </w:rPr>
              <w:t>3,9</w:t>
            </w:r>
          </w:p>
        </w:tc>
      </w:tr>
      <w:tr w:rsidR="00541980" w:rsidRPr="00F06998" w:rsidTr="007F73C1">
        <w:trPr>
          <w:trHeight w:val="3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5.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Слатине</w:t>
            </w: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 xml:space="preserve"> (</w:t>
            </w:r>
            <w:proofErr w:type="spellStart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солончак</w:t>
            </w:r>
            <w:proofErr w:type="spellEnd"/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, као земљиште најнижег квалитета-неквалитетни пашњаци)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2.754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6,9</w:t>
            </w:r>
          </w:p>
        </w:tc>
      </w:tr>
      <w:tr w:rsidR="00541980" w:rsidRPr="00F06998" w:rsidTr="007F73C1">
        <w:trPr>
          <w:trHeight w:val="3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hu-HU"/>
              </w:rPr>
              <w:t>6.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hu-HU"/>
              </w:rPr>
              <w:t>Језера, баре и мочваре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496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0" w:rsidRPr="00F06998" w:rsidRDefault="00541980" w:rsidP="0054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</w:pPr>
            <w:r w:rsidRPr="00F06998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hu-HU"/>
              </w:rPr>
              <w:t>1,2</w:t>
            </w:r>
          </w:p>
        </w:tc>
      </w:tr>
    </w:tbl>
    <w:p w:rsidR="00541980" w:rsidRPr="00F06998" w:rsidRDefault="00541980" w:rsidP="00541980">
      <w:pPr>
        <w:spacing w:after="60" w:line="240" w:lineRule="auto"/>
        <w:jc w:val="center"/>
        <w:outlineLvl w:val="1"/>
        <w:rPr>
          <w:rFonts w:ascii="Cambria" w:eastAsia="Times New Roman" w:hAnsi="Cambria" w:cs="Times New Roman"/>
          <w:sz w:val="24"/>
          <w:szCs w:val="24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Земљишта у типу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чернозема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захватају највеће површине у оквиру Програма. Производна вредност ових земљишта је веома висока, а већина педолошких творевина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чернозема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даје уједначене пољопривредне приносе уз присуство оптималне влажности у земљишту.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Слатинаста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земљишта (тешке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ритске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црнице 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смонице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) су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хидроморфне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структуре и налазе се на контакту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алувијалне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равни и лесне терасе. Производна вредност ових земљишта је знатно мања у односу на земљишта типа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чернозема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Слатинаста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земљишта захтевају елиминацију штетног дејства површинских и подземних вода. Алувијум различитог механичког састава налази се у самом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приобаљу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Тисе и под директним је утицајем водног режима реке Тисе.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>1.4. Клима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Основне карактеристике климе на простору општине Кањижа указују на променљивост временских прилика током годишњих доба. Јесен је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топлија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од пролећа. Прелазак од зиме ка пролећу је бржи него онај од лета ка јесени. У периоду лета, услед појаве померања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субтропског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појаса ка северу, ово подручје се често налази под утицајем тзв.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Азорског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антициклона који условљава релативно стабилне временске прилике. Повремени летњи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пљускови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су локалног карактера. Зимско време је под утицајем циклонских активности са подручја Атлантског океана и Средоземног мора као и тзв. Сибирског зимског антициклона. Општину Кањижа карактеришу вредности умерено континенталне климе што се очитује код температуре ваздуха, облачности и годишње суме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осунчавања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. Током године доминантни ветрови су северозападни, североисточни и југоисточни. Средње годишње брзине ветрова крећу се од 2,0 м/сец (источни ветар), до 2,6 м/сец (северозападно и југоисточни ветар).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sr-Cyrl-RS" w:eastAsia="hu-HU"/>
        </w:rPr>
        <w:t>1.5. Хидрографске и хидролошке карактеристике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>Највећи природни водоток на овом простору је река Тиса која чини источну границу општине. Корито Тисе је веома стабилно, има хидраулички повољан профил усечен у песковите терене.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На основу најновијих прорачуна и студија, као екстремне вредности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протицаја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на сектору Тисе кроз Србију добијене су следеће вредности: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Q0,5% = 4.500 м3/сец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Q1% = 4.100 м3/сец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Q2% = 3.750 м3/сец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Q5% = 3.300 м3/сец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Таласи великих вода на Тиси, по правилу се јављају у периоду март-април-мај, а само изузетно и у другим деловима године. Река Тиса је у прошлости регулисана за одређене намене и тако оспособљена за спровођење прорачунских количина вода, као и за потребе пловидбе. На делу изграђених регулационих грађевина ток воде је сигуран и поуздан. Међутим, постоје још деонице где регулациони радови нису у пуној функцији, или је постојеће физичко стање постојећих објеката неодговарајуће. Стога је и даље нужно и неопходно регулационим радовима обезбедити потпуну сигурност протока воде у свим режимским условима без изазивања штетних последица по корито реке, по објекте за одбрану од поплава и за огромну материјалну вредност која се налази на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брањеном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простору.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Водоток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Кереш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извире у Мађарској, а кроз нашу земљу тече у дужини од око 40 км. Овај водоток представља реципијент одводњавања са 30.900 ха површина.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Кереш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је регулисан водоток на целој својој дужини и дренира све сувишне воде на целом овом сливу.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Подручје општине Кањижа захвата 6 сливова за одводњавање, од којих се неки налазе у потпуности, а неки делом на територији општине, а делом на територији суседних општина. 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 xml:space="preserve">Подземне воде - кретање вода прве издани на територији општине Кањижа има пресудан утицај на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дренираност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читавог подручја. Највиши нивои подземних вода између реке Тисе и линије: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Хоргош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- Мали Песак -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lastRenderedPageBreak/>
        <w:t>Зимоњић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- Адорјан, што је свакако утицај саме Тисе и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Кереша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На овом подручју максимуми подземних вода су врло близу терена, а на појединим локалитетима излазе чак и на површину терена, што доводи до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превлажености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и деградације пољопривредног земљишта. На западној половини општине максимуми нивоа подземних вода су знатно нижи и крећу се од 1,5 - 8,0 метара, што је условљено топографским и морфолошким карактеристикама подручја.</w:t>
      </w:r>
    </w:p>
    <w:p w:rsidR="00541980" w:rsidRPr="00F06998" w:rsidRDefault="00541980" w:rsidP="00541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  <w:t>Општина Кањижа (са осам катастарских општина) располаже са укупно 39940 ха 84 ари 34 м</w:t>
      </w:r>
      <w:r w:rsidRPr="00F06998">
        <w:rPr>
          <w:rFonts w:ascii="Times New Roman" w:eastAsia="Times New Roman" w:hAnsi="Times New Roman" w:cs="Times New Roman"/>
          <w:sz w:val="20"/>
          <w:szCs w:val="20"/>
          <w:vertAlign w:val="superscript"/>
          <w:lang w:val="sr-Cyrl-RS" w:eastAsia="hu-HU"/>
        </w:rPr>
        <w:t xml:space="preserve">2 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пољопривредног земљишта.</w:t>
      </w:r>
    </w:p>
    <w:p w:rsidR="00541980" w:rsidRPr="00F06998" w:rsidRDefault="00541980" w:rsidP="0054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r-Cyrl-RS" w:eastAsia="hu-HU"/>
        </w:rPr>
      </w:pPr>
    </w:p>
    <w:p w:rsidR="00541980" w:rsidRPr="00F06998" w:rsidRDefault="00541980" w:rsidP="0054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r-Cyrl-RS" w:eastAsia="hu-HU"/>
        </w:rPr>
        <w:t>1.6.  Уређење, коришћење и заштита пољопривредног земљишта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sz w:val="20"/>
          <w:szCs w:val="20"/>
          <w:lang w:val="sr-Cyrl-RS" w:eastAsia="hu-HU"/>
        </w:rPr>
        <w:tab/>
        <w:t>Комасација пољопривредног земљишта</w:t>
      </w: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спроведена је 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Ором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1975. год., 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Трешњевац 1975. год., а у 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Мартонош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1992. године.  Нов премер урађен је 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Хоргош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 1956. год., у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 xml:space="preserve">. Мале Пијаце 1968. год., а у  </w:t>
      </w:r>
      <w:proofErr w:type="spellStart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К.О</w:t>
      </w:r>
      <w:proofErr w:type="spellEnd"/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>. Кањижа 1975. год.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sz w:val="20"/>
          <w:szCs w:val="20"/>
          <w:lang w:val="sr-Cyrl-RS" w:eastAsia="hu-HU"/>
        </w:rPr>
        <w:tab/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Ни комасација,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ни нов</w:t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и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пре</w:t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мер пољопривредног земљишта није извршен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="00E25380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у </w:t>
      </w:r>
      <w:proofErr w:type="spellStart"/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К.О</w:t>
      </w:r>
      <w:proofErr w:type="spellEnd"/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</w:t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Велебит. У </w:t>
      </w:r>
      <w:proofErr w:type="spellStart"/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К.О</w:t>
      </w:r>
      <w:proofErr w:type="spellEnd"/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Адорјан </w:t>
      </w:r>
      <w:r w:rsidR="00DD61E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је у току </w:t>
      </w:r>
      <w:r w:rsidR="00E25380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комасација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Након привременог увођења у посед нових власника земљишних поседа и </w:t>
      </w:r>
      <w:proofErr w:type="spellStart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плацева</w:t>
      </w:r>
      <w:proofErr w:type="spellEnd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у</w:t>
      </w:r>
      <w:r w:rsidR="00DD61E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proofErr w:type="spellStart"/>
      <w:r w:rsidR="00DD61E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ванграђевинском</w:t>
      </w:r>
      <w:proofErr w:type="spellEnd"/>
      <w:r w:rsidR="00DD61E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и у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грађевинском </w:t>
      </w:r>
      <w:proofErr w:type="spellStart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реону</w:t>
      </w:r>
      <w:proofErr w:type="spellEnd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, </w:t>
      </w:r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извођач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геодетско-техничких радова</w:t>
      </w:r>
      <w:r w:rsidR="0049086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је извршио обраду</w:t>
      </w:r>
      <w:r w:rsidR="00F41AF7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свих</w:t>
      </w:r>
      <w:r w:rsidR="0049086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податка</w:t>
      </w:r>
      <w:r w:rsidR="00E25380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и Елаборат комасације је коначно прихваћен од стране Републичког геодетског завода дана 07.06.2016. године.  </w:t>
      </w:r>
      <w:r w:rsidR="007F73C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Нови </w:t>
      </w:r>
      <w:proofErr w:type="spellStart"/>
      <w:r w:rsidR="007F73C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операт</w:t>
      </w:r>
      <w:proofErr w:type="spellEnd"/>
      <w:r w:rsidR="007F73C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за </w:t>
      </w:r>
      <w:proofErr w:type="spellStart"/>
      <w:r w:rsidR="007F73C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К.О</w:t>
      </w:r>
      <w:proofErr w:type="spellEnd"/>
      <w:r w:rsidR="007F73C1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Адорјан биће успостављен </w:t>
      </w:r>
      <w:r w:rsidR="008F740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након спроведеног јавног увида од стране  Комисије</w:t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за излагање на јавни увид података о непокретностима и стварним правима на њима</w:t>
      </w:r>
      <w:r w:rsidR="008F740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Овај посао би требало да се  </w:t>
      </w:r>
      <w:r w:rsidR="005B592C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="008F740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заврши</w:t>
      </w:r>
      <w:r w:rsidR="0015075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до краја 2017. године и с</w:t>
      </w:r>
      <w:r w:rsidR="001177B4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="0015075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тиме </w:t>
      </w:r>
      <w:r w:rsidR="008F740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ће се </w:t>
      </w:r>
      <w:r w:rsidR="0015075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оконча</w:t>
      </w:r>
      <w:r w:rsidR="008F740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ти и поступак комасације</w:t>
      </w:r>
      <w:r w:rsidR="0015075D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.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>Каналска мрежа за наводњавање и одводњавање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је изграђена, али због неадекватног одржавања функционисање исте је отежано. Коришћење канала за заливање је ограничено стањем система за наводњавање. Проблем стања каналске мреже долази до изражаја у временским периодима високог нивоа подземних вода и велике количине атмосферских падавина, тако да су велике површине пољопривредног земљишта у тим периодима поплављене или су исушене у периоду кад их је потребно наводњавати. Због тога је неопходно довођење каналске мреже у функцију, изградити недостајуће канале и редовно их  одржавати.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>Пољски путеви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су у знатној мери оштећени, а велики број је потпуно уништен (преорани и сл.). Велике површине пољских путева узурпиране су од стране власника и корисника пољопривредног земљишта. С обзиром на тренутно стање потребно је уложити знатна средства за изградњу, уређење и одржавање пољских путева.  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</w:r>
      <w:proofErr w:type="spellStart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>Противградну</w:t>
      </w:r>
      <w:proofErr w:type="spellEnd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 xml:space="preserve"> одбрану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је нужно финансирати из буџетских средстава општине, посебно противградне станице, јер су средства из републичког буџета недовољна, а ефикасност рада ових станица мора бити на што већем нивоу ради што успешније одбране од града.  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 xml:space="preserve">Површина под шумама и </w:t>
      </w:r>
      <w:proofErr w:type="spellStart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>пољозаштитним</w:t>
      </w:r>
      <w:proofErr w:type="spellEnd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 xml:space="preserve"> појасевима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у општини је опште незадовољавајуће у односу на потребну површину.  Акција сађења ветрозаштитних појасева</w:t>
      </w:r>
      <w:r w:rsidR="001177B4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је почела у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r w:rsidR="001177B4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2011. години</w:t>
      </w:r>
      <w:r w:rsidR="00B62CB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и од тада се и даље наставља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Ову </w:t>
      </w:r>
      <w:proofErr w:type="spellStart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пољозаштитну</w:t>
      </w:r>
      <w:proofErr w:type="spellEnd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акцију треба сукцесивно наставити, пошто је од великог значаја за за</w:t>
      </w:r>
      <w:r w:rsidR="00B62CB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штиту земљишта, зато се и у 2017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. години наставља са сађењем нових појасева. А  одржавање постојећих је од исто великог значаја. Површина под шумама исто мора да се повећава и у том циљу је предвиђено давање државног земљишта у закуп без накнаде </w:t>
      </w:r>
      <w:r w:rsidR="00B62CB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ЈП </w:t>
      </w:r>
      <w:r w:rsidR="00A3349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„</w:t>
      </w:r>
      <w:proofErr w:type="spellStart"/>
      <w:r w:rsidR="00A3349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Војводинашуме</w:t>
      </w:r>
      <w:proofErr w:type="spellEnd"/>
      <w:r w:rsidR="00A3349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“, </w:t>
      </w:r>
      <w:proofErr w:type="spellStart"/>
      <w:r w:rsidR="00A3349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Петроварадин</w:t>
      </w:r>
      <w:proofErr w:type="spellEnd"/>
      <w:r w:rsidR="00A3349F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- Шумско Газдинство "Сомбор" Сомбор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које предузеће поседује потребан стручни кадар и опрему за то.  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>Контрола плодности обрадивог пољопривредног земљишта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</w:t>
      </w:r>
      <w:proofErr w:type="spellStart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поспешује</w:t>
      </w:r>
      <w:proofErr w:type="spellEnd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адекватније искоришћавање продуктивности земљишта како би обрада истог била </w:t>
      </w:r>
      <w:proofErr w:type="spellStart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рентабилнија</w:t>
      </w:r>
      <w:proofErr w:type="spellEnd"/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, а исто тако служи и за заштиту земљишта од прекомерног уношења минералних материја.  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 xml:space="preserve">Општинску </w:t>
      </w:r>
      <w:proofErr w:type="spellStart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>пољочуварску</w:t>
      </w:r>
      <w:proofErr w:type="spellEnd"/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 xml:space="preserve"> службу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треба у довољној мери ангажовати  и  опремити како би се у што већој мери спречиле пољске штете.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 xml:space="preserve">Израда пројеката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планира се нарочито у областима које решавају проблем недовољне заштите пољопривредног земљишта. Све то са посебним освртом на израду пројеката детаљних регулација површина у циљу изградње објеката-канала у циљу обезбеђења воде за наводњавање као и одводњавања превеликих количина подземних и атмосферских вода са пољопривредних површина.</w:t>
      </w:r>
    </w:p>
    <w:p w:rsidR="00541980" w:rsidRPr="00F06998" w:rsidRDefault="00541980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sr-Cyrl-RS" w:eastAsia="hu-HU"/>
        </w:rPr>
      </w:pPr>
      <w:r w:rsidRPr="00F069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sr-Cyrl-RS" w:eastAsia="hu-HU"/>
        </w:rPr>
        <w:tab/>
        <w:t xml:space="preserve">Под осталим се 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планира наменско коришћење средстава закупа за покривање трошкова израде и реализације Годишњег програма: израда карата, оглашава</w:t>
      </w:r>
      <w:r w:rsidR="00AC3C5A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ње јавног надметања, набавка</w:t>
      </w:r>
      <w:r w:rsidR="00F83FA4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потребне опреме и</w:t>
      </w:r>
      <w:r w:rsidR="00AC3C5A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софтвера</w:t>
      </w:r>
      <w:r w:rsidR="00F83FA4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>, као</w:t>
      </w:r>
      <w:r w:rsidR="00AC3C5A"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и увођење у посед нових закупаца</w:t>
      </w:r>
      <w:r w:rsidRPr="00F069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Cyrl-RS" w:eastAsia="hu-HU"/>
        </w:rPr>
        <w:t xml:space="preserve"> парцела државног земљишта итд.</w:t>
      </w:r>
      <w:r w:rsidRPr="00F06998">
        <w:rPr>
          <w:rFonts w:ascii="Times New Roman" w:eastAsia="Times New Roman" w:hAnsi="Times New Roman" w:cs="Times New Roman"/>
          <w:color w:val="000000" w:themeColor="text1"/>
          <w:lang w:val="sr-Cyrl-RS" w:eastAsia="hu-HU"/>
        </w:rPr>
        <w:t xml:space="preserve"> </w:t>
      </w:r>
    </w:p>
    <w:p w:rsidR="00207F19" w:rsidRPr="00F06998" w:rsidRDefault="00207F19" w:rsidP="00541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sr-Cyrl-CS" w:eastAsia="hu-HU"/>
        </w:rPr>
      </w:pPr>
    </w:p>
    <w:p w:rsidR="00207F19" w:rsidRPr="00F06998" w:rsidRDefault="00207F19">
      <w:pPr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</w:pPr>
    </w:p>
    <w:p w:rsidR="00207F19" w:rsidRPr="00F06998" w:rsidRDefault="00207F19">
      <w:pPr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</w:pPr>
    </w:p>
    <w:sectPr w:rsidR="00207F19" w:rsidRPr="00F06998" w:rsidSect="00F06998">
      <w:pgSz w:w="11906" w:h="16838"/>
      <w:pgMar w:top="709" w:right="1133" w:bottom="1135" w:left="993" w:header="706" w:footer="706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C269B"/>
    <w:multiLevelType w:val="hybridMultilevel"/>
    <w:tmpl w:val="61DCC5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80"/>
    <w:rsid w:val="00017DE6"/>
    <w:rsid w:val="001177B4"/>
    <w:rsid w:val="0015075D"/>
    <w:rsid w:val="00164EC8"/>
    <w:rsid w:val="001C303E"/>
    <w:rsid w:val="00207F19"/>
    <w:rsid w:val="002544A9"/>
    <w:rsid w:val="00490861"/>
    <w:rsid w:val="00541980"/>
    <w:rsid w:val="005B592C"/>
    <w:rsid w:val="00624CF4"/>
    <w:rsid w:val="0069461A"/>
    <w:rsid w:val="007D3391"/>
    <w:rsid w:val="007E68F0"/>
    <w:rsid w:val="007F73C1"/>
    <w:rsid w:val="008C0AE6"/>
    <w:rsid w:val="008E3CFC"/>
    <w:rsid w:val="008F740D"/>
    <w:rsid w:val="00943B84"/>
    <w:rsid w:val="00A3349F"/>
    <w:rsid w:val="00A45FF0"/>
    <w:rsid w:val="00AC3C5A"/>
    <w:rsid w:val="00B62CBF"/>
    <w:rsid w:val="00BA657C"/>
    <w:rsid w:val="00C20537"/>
    <w:rsid w:val="00C33B70"/>
    <w:rsid w:val="00DD61EC"/>
    <w:rsid w:val="00E25380"/>
    <w:rsid w:val="00F06998"/>
    <w:rsid w:val="00F41AF7"/>
    <w:rsid w:val="00F8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1473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Nemes Szalkai Valéria</dc:creator>
  <cp:lastModifiedBy>Nemes Szalkai Valéria</cp:lastModifiedBy>
  <cp:revision>3</cp:revision>
  <dcterms:created xsi:type="dcterms:W3CDTF">2017-06-30T11:49:00Z</dcterms:created>
  <dcterms:modified xsi:type="dcterms:W3CDTF">2017-07-17T11:32:00Z</dcterms:modified>
</cp:coreProperties>
</file>